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422F6" w14:textId="6F42A02A" w:rsidR="00CC0354" w:rsidRPr="00DE0666" w:rsidRDefault="00CC0354" w:rsidP="00CC0354">
      <w:pPr>
        <w:pStyle w:val="a3"/>
        <w:spacing w:before="0" w:beforeAutospacing="0" w:after="0" w:afterAutospacing="0"/>
        <w:ind w:firstLine="567"/>
        <w:jc w:val="center"/>
        <w:rPr>
          <w:b/>
          <w:bCs/>
          <w:sz w:val="28"/>
          <w:szCs w:val="28"/>
          <w:lang w:val="en-US"/>
        </w:rPr>
      </w:pPr>
      <w:r w:rsidRPr="00DE0666">
        <w:rPr>
          <w:b/>
          <w:bCs/>
          <w:sz w:val="28"/>
          <w:szCs w:val="28"/>
          <w:lang w:val="en-US"/>
        </w:rPr>
        <w:t>ANNOTATION</w:t>
      </w:r>
      <w:r w:rsidRPr="00DE0666">
        <w:rPr>
          <w:b/>
          <w:bCs/>
          <w:sz w:val="28"/>
          <w:szCs w:val="28"/>
          <w:lang w:val="en-US"/>
        </w:rPr>
        <w:br/>
        <w:t>of the dissertation for the degree of Doctor of Philosophy (PhD)</w:t>
      </w:r>
      <w:r w:rsidRPr="00DE0666">
        <w:rPr>
          <w:b/>
          <w:bCs/>
          <w:sz w:val="28"/>
          <w:szCs w:val="28"/>
          <w:lang w:val="en-US"/>
        </w:rPr>
        <w:br/>
        <w:t xml:space="preserve">in the </w:t>
      </w:r>
      <w:r w:rsidR="00DE0666" w:rsidRPr="00DE0666">
        <w:rPr>
          <w:b/>
          <w:bCs/>
          <w:sz w:val="28"/>
          <w:szCs w:val="28"/>
          <w:lang w:val="en-US"/>
        </w:rPr>
        <w:t>educational program: 8D03121 - "International Relations"</w:t>
      </w:r>
      <w:bookmarkStart w:id="0" w:name="_GoBack"/>
      <w:bookmarkEnd w:id="0"/>
      <w:r w:rsidRPr="00DE0666">
        <w:rPr>
          <w:b/>
          <w:bCs/>
          <w:sz w:val="28"/>
          <w:szCs w:val="28"/>
          <w:lang w:val="en-US"/>
        </w:rPr>
        <w:br/>
        <w:t>by Alibek Kubashev</w:t>
      </w:r>
      <w:r w:rsidRPr="00DE0666">
        <w:rPr>
          <w:b/>
          <w:bCs/>
          <w:sz w:val="28"/>
          <w:szCs w:val="28"/>
          <w:lang w:val="en-US"/>
        </w:rPr>
        <w:br/>
        <w:t>on the topic: "Western European and American Studies of the Kurdish Issue (the Case of Syria and Turkey)"</w:t>
      </w:r>
    </w:p>
    <w:p w14:paraId="490E0777" w14:textId="77777777" w:rsidR="002A5AC6" w:rsidRPr="00DE0666" w:rsidRDefault="002A5AC6" w:rsidP="00CC0354">
      <w:pPr>
        <w:pStyle w:val="a3"/>
        <w:spacing w:before="0" w:beforeAutospacing="0" w:after="0" w:afterAutospacing="0"/>
        <w:ind w:firstLine="567"/>
        <w:jc w:val="center"/>
        <w:rPr>
          <w:b/>
          <w:bCs/>
          <w:sz w:val="28"/>
          <w:szCs w:val="28"/>
          <w:lang w:val="en-US"/>
        </w:rPr>
      </w:pPr>
    </w:p>
    <w:p w14:paraId="3A4140BD" w14:textId="77777777" w:rsidR="002A5AC6" w:rsidRPr="00DE0666" w:rsidRDefault="00CC0354" w:rsidP="00CC0354">
      <w:pPr>
        <w:pStyle w:val="a3"/>
        <w:spacing w:before="0" w:beforeAutospacing="0" w:after="0" w:afterAutospacing="0"/>
        <w:ind w:firstLine="567"/>
        <w:jc w:val="both"/>
        <w:rPr>
          <w:sz w:val="28"/>
          <w:szCs w:val="28"/>
          <w:lang w:val="en-US"/>
        </w:rPr>
      </w:pPr>
      <w:r w:rsidRPr="00DE0666">
        <w:rPr>
          <w:b/>
          <w:bCs/>
          <w:sz w:val="28"/>
          <w:szCs w:val="28"/>
          <w:lang w:val="en-US"/>
        </w:rPr>
        <w:t>Relevance of the research topic.</w:t>
      </w:r>
      <w:r w:rsidRPr="00DE0666">
        <w:rPr>
          <w:sz w:val="28"/>
          <w:szCs w:val="28"/>
          <w:lang w:val="en-US"/>
        </w:rPr>
        <w:t xml:space="preserve"> The Kurds, an Indo-European people of the Middle East and Asia, live at the intersection of the Arab, Turkish, and Persian worlds. The 1920 Treaty of Sèvres envisioned the creation of an autonomous Kurdistan in the former Ottoman Empire. Political settlement processes in the Middle East led to the division of the Kurds between Iran, Iraq, Syria, and Turkey. The Kurds did not accept the new status quo, and throughout the 1920s, Kurdish protests and uprisings erupted, but they were unable to reverse the process of their division into various states. The Kurdish community faced manifestations of nationalism from both the state and the population and developed under difficult conditions. The states in which the Kurds reside, as well as regional states and leading world powers, viewed Kurdish movements as a threat to national, regional, and international security.</w:t>
      </w:r>
    </w:p>
    <w:p w14:paraId="745D6AB3"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Currently, the total number of Kurds worldwide exceeds 45 million. The majority of Kurds live on their own land, i.e., in the Kurdish-occupied territories. In the territory of historical Kurdistan, their numbers are distributed among countries: 16.25 million in Turkey, 2 million in Syria, over 9 million in Iran, and approximately 5 million in Iraq.</w:t>
      </w:r>
    </w:p>
    <w:p w14:paraId="3ED33F47"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The Kurds of Kazakhstan, numbering approximately 51,000, are an integral part of the political, socioeconomic, and cultural life of this multi-ethnic country, participating in the construction of a Just Kazakhstan in accordance with the Address of the Head of State, Kassym-Jomart Tokayev, to the people of Kazakhstan, "A Just Kazakhstan: Law and Order, Economic Growth, and Public Optimism," dated September 2, 2024. The Address focuses on building a Just Kazakhstan in the context of developing new patterns of behavior and instilling new values ​​based on the unity of the country's people. One of the mechanisms for ensuring unity in Kazakhstan is the Assembly of the People of Kazakhstan, established by a decree of the Head of State in March 1995. The Kurdish association "Barbang" actively operates within its framework, operating under the Law of the Republic of Kazakhstan "On the Assembly of the People of Kazakhstan."</w:t>
      </w:r>
    </w:p>
    <w:p w14:paraId="492F5026" w14:textId="77777777" w:rsidR="000E1221"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 xml:space="preserve">At the core of the Kurdish question is the Kurdish people's struggle for the right to national self-determination, the opportunity for free development, and self-expression. The Kurdish issue is viewed as an entrenched and complex transnational problem. It is not only a question of self-determination for the Kurdish people and their claims to independence and their own state. The Kurdish issue is an instrument of political influence for major global players in the Middle East. This issue is further compounded by the availability of energy resources in Kurdish-populated areas. The Kurdish people's struggle for over a century has led to the Kurds in the Middle East </w:t>
      </w:r>
      <w:r w:rsidRPr="00DE0666">
        <w:rPr>
          <w:sz w:val="28"/>
          <w:szCs w:val="28"/>
          <w:lang w:val="en-US"/>
        </w:rPr>
        <w:lastRenderedPageBreak/>
        <w:t xml:space="preserve">becoming a new regional and international actor. The activism of the Kurdish diaspora in Europe has internationalized the Kurdish issue. </w:t>
      </w:r>
    </w:p>
    <w:p w14:paraId="372294FA"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The choice to study Kurdish issues using Syria and Turkey as examples is driven by the current domestic policies toward the Kurds, the presence of Kurdish political parties that exert a certain influence on domestic policy, and the availability and accessibility of sources for research on the dissertation topic.</w:t>
      </w:r>
    </w:p>
    <w:p w14:paraId="44BA0620"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Endogenous factors such as the geographic division of the Kurds, the weakness of some political parties, the low level of economic development in the Kurdish regions, and the inability of the ruling elites to resolve socioeconomic and interethnic contradictions make the Kurdish question multifaceted and complex. Exogenous factors such as the competition between regional and extra-regional powers for influence in the region and their interest in weakening the Kurds make the problem difficult to resolve.</w:t>
      </w:r>
    </w:p>
    <w:p w14:paraId="2F89C228"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The topic of Kurdish issues is relevant, controversial, and discussed at the highest levels of government, by non-governmental organizations, in academic circles, and in research.</w:t>
      </w:r>
    </w:p>
    <w:p w14:paraId="52EA4BC7"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Scholars from various countries, such as England, France, Spain, the United States, and Germany, are exploring this issue, from the transformation of Kurdish identity to the role of Kurdish political parties in the countries studied, the relationship between the state and the Kurds, and the role of the Kurdish diaspora. They analyze the influence of leading world powers on the Kurdish issue and consider prospects for resolving it. International scholars have developed their own methodology and methodologies for studying the Kurdish issue. They have been active in Kurdish issues that were considered controversial and understudied. The Kurdish issue is studied by foreign scholars in relation to the global socio-political situation and in close connection with events unfolding in the Middle East. The creation of the Kurdistan Region in Iraq (semi-independent, 2005) and the Autonomous Administration of Northern and Eastern Syria in 2012 were the result of a protracted Kurdish struggle for self-determination. The growth of the pro-Kurdish movement in Turkish politics in recent years, reinforced by the strong results in the 2015 Turkish parliamentary elections, has placed Kurds at the center of political events in Turkey. The dissolution of the Kurdistan Workers' Party (PKK) in May 2025 does not signify the end of its activities, but a change in its methods and tactics.</w:t>
      </w:r>
    </w:p>
    <w:p w14:paraId="0169E392"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The study of the Kurdish issue is crucial for the country's foreign policy, which aims to promote the preservation and strengthening of the unity of the multiethnic people of Kazakhstan through foreign policy. The Kurdish issue is also significant for Kazakh scholarship, the development of its theory and practice. Firstly, the Kurdish issue is one of the most long-standing and complex ethnopolitical conflicts in Eurasia, and Kazakhstan, as part of this region, is interested in stability, security, and risk forecasting. Secondly, an analysis of the Kurdish issue allows for the expansion of comparative research on ethnopolitics, interethnic relations, and the governance of multiethnic societies</w:t>
      </w:r>
      <w:r w:rsidR="000E1221" w:rsidRPr="000E1221">
        <w:rPr>
          <w:sz w:val="28"/>
          <w:szCs w:val="28"/>
          <w:lang w:val="en-US"/>
        </w:rPr>
        <w:t xml:space="preserve"> - </w:t>
      </w:r>
      <w:r w:rsidRPr="00DE0666">
        <w:rPr>
          <w:sz w:val="28"/>
          <w:szCs w:val="28"/>
          <w:lang w:val="en-US"/>
        </w:rPr>
        <w:t xml:space="preserve">topics that are directly linked to Kazakhstan's model of interethnic harmony. Third, studying the Kurdish issue contributes to a deeper understanding of Middle Eastern diplomacy, international organizations, and </w:t>
      </w:r>
      <w:r w:rsidRPr="00DE0666">
        <w:rPr>
          <w:sz w:val="28"/>
          <w:szCs w:val="28"/>
          <w:lang w:val="en-US"/>
        </w:rPr>
        <w:lastRenderedPageBreak/>
        <w:t>geopolitics, which is important for training specialists in international relations. Thus, research into the Kurdish issue contributes to the development of foreign policy theory and practice, conflict resolution, and regional studies in Kazakhstan.</w:t>
      </w:r>
    </w:p>
    <w:p w14:paraId="564BF616"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The relevance of this study is determined by the active participation of the Kurdish community, which enjoys full civil rights. In the Address of the President of the Republic of Kazakhstan K</w:t>
      </w:r>
      <w:r w:rsidR="000E1221" w:rsidRPr="000E1221">
        <w:rPr>
          <w:sz w:val="28"/>
          <w:szCs w:val="28"/>
          <w:lang w:val="en-US"/>
        </w:rPr>
        <w:t>.-</w:t>
      </w:r>
      <w:r w:rsidRPr="00DE0666">
        <w:rPr>
          <w:sz w:val="28"/>
          <w:szCs w:val="28"/>
          <w:lang w:val="en-US"/>
        </w:rPr>
        <w:t>J</w:t>
      </w:r>
      <w:r w:rsidR="000E1221" w:rsidRPr="000E1221">
        <w:rPr>
          <w:sz w:val="28"/>
          <w:szCs w:val="28"/>
          <w:lang w:val="en-US"/>
        </w:rPr>
        <w:t>.</w:t>
      </w:r>
      <w:r w:rsidRPr="00DE0666">
        <w:rPr>
          <w:sz w:val="28"/>
          <w:szCs w:val="28"/>
          <w:lang w:val="en-US"/>
        </w:rPr>
        <w:t xml:space="preserve"> Tokayev to the people of Kazakhstan, "A Fair Kazakhstan: Law and Order, Economic Growth, Social Optimism" unity and harmony in a multiethnic country are emphasized. This study aligns with the priority area of ​​"Intellectual Potential of the Country." From this perspective, the topic of this dissertation is particularly relevant.</w:t>
      </w:r>
    </w:p>
    <w:p w14:paraId="3B2C7D9D"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b/>
          <w:bCs/>
          <w:sz w:val="28"/>
          <w:szCs w:val="28"/>
          <w:lang w:val="en-US"/>
        </w:rPr>
        <w:t>Object of study</w:t>
      </w:r>
      <w:r w:rsidRPr="00DE0666">
        <w:rPr>
          <w:sz w:val="28"/>
          <w:szCs w:val="28"/>
          <w:lang w:val="en-US"/>
        </w:rPr>
        <w:t>: The Kurdish question in the system of international relations.</w:t>
      </w:r>
    </w:p>
    <w:p w14:paraId="34DBCA40"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b/>
          <w:bCs/>
          <w:sz w:val="28"/>
          <w:szCs w:val="28"/>
          <w:lang w:val="en-US"/>
        </w:rPr>
        <w:t>Subject of study</w:t>
      </w:r>
      <w:r w:rsidRPr="00DE0666">
        <w:rPr>
          <w:sz w:val="28"/>
          <w:szCs w:val="28"/>
          <w:lang w:val="en-US"/>
        </w:rPr>
        <w:t>: Research on the Kurdish problem in the works of Western European and American scholars.</w:t>
      </w:r>
    </w:p>
    <w:p w14:paraId="6EEAC766"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b/>
          <w:bCs/>
          <w:sz w:val="28"/>
          <w:szCs w:val="28"/>
          <w:lang w:val="en-US"/>
        </w:rPr>
        <w:t xml:space="preserve">Purpose of study: </w:t>
      </w:r>
      <w:r w:rsidRPr="00DE0666">
        <w:rPr>
          <w:sz w:val="28"/>
          <w:szCs w:val="28"/>
          <w:lang w:val="en-US"/>
        </w:rPr>
        <w:t>Examines the current situation of the Kurdish people in Syria and Turkey in the struggle for self-determination and the prospects for its resolution based on an analysis of the works of Western European and American scholars.</w:t>
      </w:r>
    </w:p>
    <w:p w14:paraId="3FF07F34" w14:textId="77777777" w:rsidR="00CC0354" w:rsidRPr="00DE0666" w:rsidRDefault="00CC0354" w:rsidP="00CC0354">
      <w:pPr>
        <w:pStyle w:val="a3"/>
        <w:spacing w:before="0" w:beforeAutospacing="0" w:after="0" w:afterAutospacing="0"/>
        <w:ind w:firstLine="567"/>
        <w:jc w:val="both"/>
        <w:rPr>
          <w:b/>
          <w:bCs/>
          <w:sz w:val="28"/>
          <w:szCs w:val="28"/>
          <w:lang w:val="en-US"/>
        </w:rPr>
      </w:pPr>
      <w:r w:rsidRPr="00DE0666">
        <w:rPr>
          <w:b/>
          <w:bCs/>
          <w:sz w:val="28"/>
          <w:szCs w:val="28"/>
          <w:lang w:val="en-US"/>
        </w:rPr>
        <w:t>Research objectives:</w:t>
      </w:r>
    </w:p>
    <w:p w14:paraId="084CBE24"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 to identify the historical causes of the Kurdish question from a historical perspective,</w:t>
      </w:r>
    </w:p>
    <w:p w14:paraId="0327332A"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 to identify the main theories and approaches to the Kurdish case in foreign analysis,</w:t>
      </w:r>
    </w:p>
    <w:p w14:paraId="11E27BB2"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 to assess the external and internal factors that influenced the transformation of Kurdish identity in Syria and Turkey in Western European and American studies,</w:t>
      </w:r>
    </w:p>
    <w:p w14:paraId="38B0204D"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 to explore the dynamics of Syrian Kurdistan and the contribution of political parties to resolving the Kurdish question in the works of Western European and American scholars,</w:t>
      </w:r>
    </w:p>
    <w:p w14:paraId="57D40323"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 to analyze the role of Kurdish parties in the Turkish political system based on the research of Western European and American scholars,</w:t>
      </w:r>
    </w:p>
    <w:p w14:paraId="7B893565"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 to evaluate foreign research on the role of the Kurdish diaspora's transnational practices in supporting Kurds in their historical homeland,</w:t>
      </w:r>
    </w:p>
    <w:p w14:paraId="59D2622B"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 to identify the main scholarly views on the influence of superpowers in regulating the Kurdish question in Syria and Turkey,</w:t>
      </w:r>
    </w:p>
    <w:p w14:paraId="770CFCD6"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 to demonstrate the extent and nature of the Kurdish question's influence on regional and global politics in foreign analysis,</w:t>
      </w:r>
    </w:p>
    <w:p w14:paraId="484C8930"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 to identify scenarios for resolving the Kurdish question based on an analysis of the scientific research of Western European and American scholars.</w:t>
      </w:r>
    </w:p>
    <w:p w14:paraId="3B37E28F"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b/>
          <w:bCs/>
          <w:sz w:val="28"/>
          <w:szCs w:val="28"/>
          <w:lang w:val="en-US"/>
        </w:rPr>
        <w:t>The theoretical and methodological basis of the study</w:t>
      </w:r>
      <w:r w:rsidRPr="00DE0666">
        <w:rPr>
          <w:sz w:val="28"/>
          <w:szCs w:val="28"/>
          <w:lang w:val="en-US"/>
        </w:rPr>
        <w:t xml:space="preserve"> is a civilizational approach and the principle of objectivity in addressing the complex and pressing issue of the Kurdish question. The theoretical foundations, within an interdisciplinary context, focus on the holistic processes occurring among the Kurds of Syria and Turkey. The civilizational approach considers these processes within the context of internal and external factors, and provides a comprehensive analysis of their political and socioeconomic foundations.</w:t>
      </w:r>
    </w:p>
    <w:p w14:paraId="69FB65E8"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b/>
          <w:bCs/>
          <w:sz w:val="28"/>
          <w:szCs w:val="28"/>
          <w:lang w:val="en-US"/>
        </w:rPr>
        <w:lastRenderedPageBreak/>
        <w:t>The scientific novelty of the study</w:t>
      </w:r>
      <w:r w:rsidRPr="00DE0666">
        <w:rPr>
          <w:sz w:val="28"/>
          <w:szCs w:val="28"/>
          <w:lang w:val="en-US"/>
        </w:rPr>
        <w:t xml:space="preserve"> is determined by its stated aim and objectives. For the first time in Kazakhstani socio-political thought, this analysis examines the Kurdish question in the works of Western European and American researchers. Scientific novelty is reflected in the new scientific results obtained as an original contribution to Kazakhstani science:</w:t>
      </w:r>
    </w:p>
    <w:p w14:paraId="6C816CF0"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 the main theories, concepts, and approaches to studying the Kurdish issue in Western European and American studies have been identified, including traditional and new ones (instrumentalism, colonialism, cyberethnography, and others);</w:t>
      </w:r>
    </w:p>
    <w:p w14:paraId="3C3D3676"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 external and internal factors that influenced the transformation of Kurdish self-awareness in Syria and Turkey have been identified;</w:t>
      </w:r>
    </w:p>
    <w:p w14:paraId="135F2FB3"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 the dynamics of Syrian Kurdistan and the contribution of political parties to resolving the Kurdish issue in the works of Western European and American scholars have been comprehensively studied for the first time;</w:t>
      </w:r>
    </w:p>
    <w:p w14:paraId="45B5AFE8"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 the role of Kurdish parties in the political system of Turkey has been presented based on the research of Western European and American scholars;</w:t>
      </w:r>
    </w:p>
    <w:p w14:paraId="662A34DD"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 scientific novelty is expressed in the study of the role of the transnational practice of the Kurdish diaspora in supporting Kurds in their historical homeland in foreign analysis;</w:t>
      </w:r>
    </w:p>
    <w:p w14:paraId="7C3AFD77"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 the main scientific views on the influence of superpowers on the regulation of the Kurdish issue in Syria and Turkey have been assessed for the first time;</w:t>
      </w:r>
    </w:p>
    <w:p w14:paraId="7E1AAFBE"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 scientific novelty is represented by the degree and nature of influence The Kurdish issue's impact on regional and global politics through the lens of influence indicators.</w:t>
      </w:r>
    </w:p>
    <w:p w14:paraId="60D5136B" w14:textId="77777777" w:rsidR="00CC0354" w:rsidRPr="000E1221"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 xml:space="preserve">- </w:t>
      </w:r>
      <w:r w:rsidR="000E1221">
        <w:rPr>
          <w:sz w:val="28"/>
          <w:szCs w:val="28"/>
          <w:lang w:val="en-US"/>
        </w:rPr>
        <w:t>t</w:t>
      </w:r>
      <w:r w:rsidRPr="00DE0666">
        <w:rPr>
          <w:sz w:val="28"/>
          <w:szCs w:val="28"/>
          <w:lang w:val="en-US"/>
        </w:rPr>
        <w:t>he research's novelty is defined by predictive scenarios for resolving the Kurdish issue based on an analysis of Western European and American scholars, which is first conducted within the framework of this work</w:t>
      </w:r>
      <w:r w:rsidR="000E1221">
        <w:rPr>
          <w:sz w:val="28"/>
          <w:szCs w:val="28"/>
          <w:lang w:val="en-US"/>
        </w:rPr>
        <w:t>;</w:t>
      </w:r>
    </w:p>
    <w:p w14:paraId="6956D266"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 xml:space="preserve">- </w:t>
      </w:r>
      <w:r w:rsidR="000E1221">
        <w:rPr>
          <w:sz w:val="28"/>
          <w:szCs w:val="28"/>
          <w:lang w:val="en-US"/>
        </w:rPr>
        <w:t>a</w:t>
      </w:r>
      <w:r w:rsidRPr="00DE0666">
        <w:rPr>
          <w:sz w:val="28"/>
          <w:szCs w:val="28"/>
          <w:lang w:val="en-US"/>
        </w:rPr>
        <w:t xml:space="preserve"> range of new concepts and new sources are introduced into domestic social sciences, complementing the conceptual and categorical apparatus of Kazakhstani scholarship based on the results of this dissertation.</w:t>
      </w:r>
    </w:p>
    <w:p w14:paraId="42D28DCA"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b/>
          <w:bCs/>
          <w:sz w:val="28"/>
          <w:szCs w:val="28"/>
          <w:lang w:val="en-US"/>
        </w:rPr>
        <w:t>Theoretical significance of the study</w:t>
      </w:r>
      <w:r w:rsidRPr="00DE0666">
        <w:rPr>
          <w:sz w:val="28"/>
          <w:szCs w:val="28"/>
          <w:lang w:val="en-US"/>
        </w:rPr>
        <w:t xml:space="preserve">. Theories, concepts, and approaches used by Western European and American researchers on the Kurdish issue, such as the "perspective stabilization" approach, coloniality, instrumentalism, the concept of localizing foreign news, and others, can be integrated into the Kazakhstani context for scholarly research. These theories, concepts, and approaches will significantly enrich Kazakhstani scholarly research in political science, oriental and regional studies, international relations, sociology, and political demography. This will expand our understanding of the Kurdish issue and some of the ways to resolve it, as well as to achieve national and regional stability through the recognition of Kurdish civil rights. </w:t>
      </w:r>
    </w:p>
    <w:p w14:paraId="22964617"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b/>
          <w:bCs/>
          <w:sz w:val="28"/>
          <w:szCs w:val="28"/>
          <w:lang w:val="en-US"/>
        </w:rPr>
        <w:t>Practical significance of the study</w:t>
      </w:r>
      <w:r w:rsidRPr="00DE0666">
        <w:rPr>
          <w:sz w:val="28"/>
          <w:szCs w:val="28"/>
          <w:lang w:val="en-US"/>
        </w:rPr>
        <w:t xml:space="preserve">. Practical significance correlates with its theoretical significance. The practical significance of the study is structured on two levels: regional-international and Kazakhstani-national. At the regional and international levels, projected scenarios for resolving the Kurdish issue in the Middle East can and should be considered by decision-makers, especially given the precedent of Iraqi Kurdistan and the Autonomous Administration of Northern and </w:t>
      </w:r>
      <w:r w:rsidRPr="00DE0666">
        <w:rPr>
          <w:sz w:val="28"/>
          <w:szCs w:val="28"/>
          <w:lang w:val="en-US"/>
        </w:rPr>
        <w:lastRenderedPageBreak/>
        <w:t>Eastern Syria (Rojava). At the Kazakh-national level, the research results can be used in the practical work of government agencies, relevant departments, and educational activities.</w:t>
      </w:r>
    </w:p>
    <w:p w14:paraId="7A0BB3AC"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The following key theses are submitted for defense:</w:t>
      </w:r>
    </w:p>
    <w:p w14:paraId="2DF8CD17"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1 Based on a historical overview of the Kurdish issue, foreign studies have identified the causes of the Kurdish question, including the constant movement of Kurds from one territory to another, their geographical separation, disagreements within the Kurdish community, the coercion of Kurds to perform certain labor or tasks, and the denial of Kurdish identity, which contribute to the growth of Kurdish nationalism. The existence of Kurdish principalities within the Ottoman, Sassanid, and Safavid empires, which enjoyed a certain level of autonomy, motivates the Kurdish community to realize the idea of ​​independence.</w:t>
      </w:r>
    </w:p>
    <w:p w14:paraId="3CE0ABB8"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2 An empirical understanding of theories, concepts, and approaches in an interdisciplinary context allowed for an analysis of Western European and American studies of the Kurdish question in Syria and Turkey. Kurdish civilization did not achieve the great transformation conceptualized by Karl Polanyi during the collapse of the empire. Realism explained the actions of Turkey and Syria to minimize the economic differences between the Kurds and the rest of the population. Neoliberalism has shed light on issues facing Kurds, such as rising poverty and unemployment. Western European and American researchers are using new approaches and concepts, such as cyberethnography, coloniality, the localization of foreign news, and long-term stabilization.</w:t>
      </w:r>
    </w:p>
    <w:p w14:paraId="12288CCF"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 xml:space="preserve">3 The transformation of Kurdish identity in Syria and Turkey in the late 20th and early 21st centuries </w:t>
      </w:r>
      <w:proofErr w:type="gramStart"/>
      <w:r w:rsidRPr="00DE0666">
        <w:rPr>
          <w:sz w:val="28"/>
          <w:szCs w:val="28"/>
          <w:lang w:val="en-US"/>
        </w:rPr>
        <w:t>is</w:t>
      </w:r>
      <w:proofErr w:type="gramEnd"/>
      <w:r w:rsidRPr="00DE0666">
        <w:rPr>
          <w:sz w:val="28"/>
          <w:szCs w:val="28"/>
          <w:lang w:val="en-US"/>
        </w:rPr>
        <w:t xml:space="preserve"> driven by a combination of external and internal factors. Western European and American studies show that globalization, the formation of a pan-European Kurdish identity, and Turkey's aspirations to join the EU, which increased pressure on its human rights policies, influenced these processes from the outside. Internal factors played a decisive role in changing Kurdish values. The rise of human rights discourse and the arrest of A. Öcalan, a key moment in the movement's modernization, accelerated changes in regional balances and led to a qualitative evolution of Kurdish identity</w:t>
      </w:r>
      <w:r w:rsidR="006832C3">
        <w:rPr>
          <w:sz w:val="28"/>
          <w:szCs w:val="28"/>
          <w:lang w:val="en-US"/>
        </w:rPr>
        <w:t>.</w:t>
      </w:r>
    </w:p>
    <w:p w14:paraId="38AEA84F"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4 Western European and American studies show that the dynamics of Syrian Kurdistan are determined by the growth of Kurdish national consciousness and the political transformation of Kurdish parties, which, from disparate organizations, became the main actors in regional governance. Western academic literature emphasizes that the interaction of Syrian Kurdish parties with Kurdish structures in Iraq and Turkey simultaneously accelerated the institutionalization of Rojava and led to a reduction in the number of parties that could not withstand the competition for legitimacy. Thus, Western researchers view political parties as the primary mechanism for resolving the Kurdish question in Syria through the formation of an alternative model of self-government.</w:t>
      </w:r>
    </w:p>
    <w:p w14:paraId="1F7BA0A3"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 xml:space="preserve">5 Western European and American studies show that Kurdish parties in the Turkish political system were shaped by long-standing bans and the presence of the PKK, which Ankara and Western countries consider a terrorist organization. The Kurdish political movement retained parliamentary representation through the </w:t>
      </w:r>
      <w:r w:rsidRPr="00DE0666">
        <w:rPr>
          <w:sz w:val="28"/>
          <w:szCs w:val="28"/>
          <w:lang w:val="en-US"/>
        </w:rPr>
        <w:lastRenderedPageBreak/>
        <w:t>Peoples' Democratic Party (HDP), promoting the institutionalization of Kurdish identity, including Kurdish-language education. Western researchers emphasize that the development of cooperation between the AKP and Kurdish parties is seen as an important factor in stabilizing Turkish-Kurdish relations.</w:t>
      </w:r>
    </w:p>
    <w:p w14:paraId="64CE610F"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6 The transnational practice of the Kurdish diaspora to support compatriots in their historical homeland utilizes available tools and mechanisms, creating associations, unions, organizing forums, conferences, festivals, and rallies. The most popular tool of the Kurdish diaspora has been the use of cyberspace, particularly social media, to inform the public about current events. The active efforts of the Kurdish diaspora have contributed to the Kurds becoming actors at the national and regional levels, at the European Union level, and internationally.</w:t>
      </w:r>
    </w:p>
    <w:p w14:paraId="5C6E601A"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7 Foreign analysts, examining the superpowers' influence on the Kurdish issue in Syria and Turkey, did not pursue support for the Kurdish ethnic group's civil rights. Under the guise of slogans about the need for genuine democratic reforms, they pursued other goals. They could provide military and humanitarian support, especially to Syria. They valued the Kurds of Syria in the fight against ISIS, and they treated Turkey as a NATO ally in their Kurdish policy. The United States, in determining its policy priorities in the Middle East, monitors the Kurdish issue's influence on the regional and international agenda, focusing its priority on democratic governance, as does the EU. Progressive representatives of the Kurdish movement believed that Western countries were not committed to a just resolution of the Kurdish issue.</w:t>
      </w:r>
    </w:p>
    <w:p w14:paraId="1169B59E"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8 The Kurdish issue represents a regional and global problem, creating risks and threats to political, economic, and social stability. The natural resource factor gives rise to the Turkey-Syria confrontation, which determines a high degree of influence on regional politics. World powers must recognize that a peaceful Middle East cannot be achieved without resolving the Kurdish issue. They must develop new approaches to securing their interests in the region, recognizing that military operations are not an effective solution to the Kurdish problem.</w:t>
      </w:r>
    </w:p>
    <w:p w14:paraId="1F691EA8"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9 An analysis of international studies on the prospects for resolving the Kurdish issue in the Middle East reveals a variety of political scenarios and prospects for resolving the Kurdish issue: autonomy based on federalism, democratic confederalism, and the creation of an independent, unified Kurdistan. Currently, given US claims to Greenland, territorial disputes between Russia and Ukraine, and the unresolved Taiwan issue, the resolution of the Kurdish issue is complex, volatile, contradictory, and uncertain.</w:t>
      </w:r>
    </w:p>
    <w:p w14:paraId="1EC9C59C"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b/>
          <w:bCs/>
          <w:sz w:val="28"/>
          <w:szCs w:val="28"/>
          <w:lang w:val="en-US"/>
        </w:rPr>
        <w:t xml:space="preserve">Research validation. </w:t>
      </w:r>
      <w:r w:rsidRPr="00DE0666">
        <w:rPr>
          <w:sz w:val="28"/>
          <w:szCs w:val="28"/>
          <w:lang w:val="en-US"/>
        </w:rPr>
        <w:t>The main provisions of the dissertation are reflected in four scientific papers, including one article in a Scopus-listed journal (Q2) and three articles in scientific journals recommended by the Kazakh National Pedagogical University of the Ministry of Education and Science of the Republic of Kazakhstan:</w:t>
      </w:r>
    </w:p>
    <w:p w14:paraId="3DAEBC73" w14:textId="77777777" w:rsidR="00CC0354" w:rsidRPr="003E1101" w:rsidRDefault="00CC0354" w:rsidP="00CC0354">
      <w:pPr>
        <w:pStyle w:val="a3"/>
        <w:spacing w:before="0" w:beforeAutospacing="0" w:after="0" w:afterAutospacing="0"/>
        <w:ind w:firstLine="567"/>
        <w:jc w:val="both"/>
        <w:rPr>
          <w:sz w:val="28"/>
          <w:szCs w:val="28"/>
        </w:rPr>
      </w:pPr>
      <w:r w:rsidRPr="00DE0666">
        <w:rPr>
          <w:sz w:val="28"/>
          <w:szCs w:val="28"/>
          <w:lang w:val="en-US"/>
        </w:rPr>
        <w:t xml:space="preserve">1. Socio-Cultural and Political Features and Differences in the Life of Kurdish Communities and Social Groups in Kazakhstan, Turkey, and Syria // International Journal of Minority and Group Rights. – 2025. - 07 Feb. </w:t>
      </w:r>
      <w:r w:rsidRPr="003E1101">
        <w:rPr>
          <w:sz w:val="28"/>
          <w:szCs w:val="28"/>
        </w:rPr>
        <w:t>Advance Articles</w:t>
      </w:r>
    </w:p>
    <w:p w14:paraId="73806C41"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lastRenderedPageBreak/>
        <w:t xml:space="preserve">2. Methodological Approaches to Studying the Kurdish Question // Bulletin of </w:t>
      </w:r>
      <w:proofErr w:type="gramStart"/>
      <w:r w:rsidR="006832C3">
        <w:rPr>
          <w:sz w:val="28"/>
          <w:szCs w:val="28"/>
          <w:lang w:val="en-US"/>
        </w:rPr>
        <w:t xml:space="preserve">Abai </w:t>
      </w:r>
      <w:r w:rsidRPr="00DE0666">
        <w:rPr>
          <w:sz w:val="28"/>
          <w:szCs w:val="28"/>
          <w:lang w:val="en-US"/>
        </w:rPr>
        <w:t xml:space="preserve"> Kazakh</w:t>
      </w:r>
      <w:proofErr w:type="gramEnd"/>
      <w:r w:rsidRPr="00DE0666">
        <w:rPr>
          <w:sz w:val="28"/>
          <w:szCs w:val="28"/>
          <w:lang w:val="en-US"/>
        </w:rPr>
        <w:t xml:space="preserve"> National Pedagogical University. Series "Historical and Socio-Political Sciences". - 2020. - No. 1 (64).</w:t>
      </w:r>
    </w:p>
    <w:p w14:paraId="20C5E9B5"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 xml:space="preserve">3. The Role of the Kurdistan Workers' Party in the Recognition of the Kurdish Question // Bulletin of </w:t>
      </w:r>
      <w:proofErr w:type="gramStart"/>
      <w:r w:rsidR="006832C3">
        <w:rPr>
          <w:sz w:val="28"/>
          <w:szCs w:val="28"/>
          <w:lang w:val="en-US"/>
        </w:rPr>
        <w:t xml:space="preserve">Kazakh </w:t>
      </w:r>
      <w:r w:rsidRPr="00DE0666">
        <w:rPr>
          <w:sz w:val="28"/>
          <w:szCs w:val="28"/>
          <w:lang w:val="en-US"/>
        </w:rPr>
        <w:t xml:space="preserve"> Ablai</w:t>
      </w:r>
      <w:proofErr w:type="gramEnd"/>
      <w:r w:rsidR="006832C3">
        <w:rPr>
          <w:sz w:val="28"/>
          <w:szCs w:val="28"/>
          <w:lang w:val="en-US"/>
        </w:rPr>
        <w:t xml:space="preserve"> </w:t>
      </w:r>
      <w:r w:rsidRPr="00DE0666">
        <w:rPr>
          <w:sz w:val="28"/>
          <w:szCs w:val="28"/>
          <w:lang w:val="en-US"/>
        </w:rPr>
        <w:t>khan University</w:t>
      </w:r>
      <w:r w:rsidR="006832C3">
        <w:rPr>
          <w:sz w:val="28"/>
          <w:szCs w:val="28"/>
          <w:lang w:val="en-US"/>
        </w:rPr>
        <w:t xml:space="preserve"> of International Relations and World Languages</w:t>
      </w:r>
      <w:r w:rsidRPr="00DE0666">
        <w:rPr>
          <w:sz w:val="28"/>
          <w:szCs w:val="28"/>
          <w:lang w:val="en-US"/>
        </w:rPr>
        <w:t>, series "International Relations and Regional Studies" - 2023. - No. 4. (co-authored by Shaimordanova Z.D.).</w:t>
      </w:r>
    </w:p>
    <w:p w14:paraId="63A39467"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sz w:val="28"/>
          <w:szCs w:val="28"/>
          <w:lang w:val="en-US"/>
        </w:rPr>
        <w:t xml:space="preserve">4. Kubashev A.E. The Kurdish Diaspora of Kazakhstan in the New Hepopolitical and Geo-Economic Reality // Bulletin of </w:t>
      </w:r>
      <w:r w:rsidR="006832C3">
        <w:rPr>
          <w:sz w:val="28"/>
          <w:szCs w:val="28"/>
          <w:lang w:val="en-US"/>
        </w:rPr>
        <w:t xml:space="preserve">Kazakh </w:t>
      </w:r>
      <w:r w:rsidRPr="00DE0666">
        <w:rPr>
          <w:sz w:val="28"/>
          <w:szCs w:val="28"/>
          <w:lang w:val="en-US"/>
        </w:rPr>
        <w:t>Ablai</w:t>
      </w:r>
      <w:r w:rsidR="006832C3">
        <w:rPr>
          <w:sz w:val="28"/>
          <w:szCs w:val="28"/>
          <w:lang w:val="en-US"/>
        </w:rPr>
        <w:t xml:space="preserve"> </w:t>
      </w:r>
      <w:r w:rsidRPr="00DE0666">
        <w:rPr>
          <w:sz w:val="28"/>
          <w:szCs w:val="28"/>
          <w:lang w:val="en-US"/>
        </w:rPr>
        <w:t xml:space="preserve">khan University </w:t>
      </w:r>
      <w:r w:rsidR="006832C3">
        <w:rPr>
          <w:sz w:val="28"/>
          <w:szCs w:val="28"/>
          <w:lang w:val="en-US"/>
        </w:rPr>
        <w:t xml:space="preserve">of International Relations and World </w:t>
      </w:r>
      <w:proofErr w:type="gramStart"/>
      <w:r w:rsidR="006832C3">
        <w:rPr>
          <w:sz w:val="28"/>
          <w:szCs w:val="28"/>
          <w:lang w:val="en-US"/>
        </w:rPr>
        <w:t xml:space="preserve">Languages, </w:t>
      </w:r>
      <w:r w:rsidR="006832C3" w:rsidRPr="00DE0666">
        <w:rPr>
          <w:sz w:val="28"/>
          <w:szCs w:val="28"/>
          <w:lang w:val="en-US"/>
        </w:rPr>
        <w:t xml:space="preserve"> </w:t>
      </w:r>
      <w:r w:rsidRPr="00DE0666">
        <w:rPr>
          <w:sz w:val="28"/>
          <w:szCs w:val="28"/>
          <w:lang w:val="en-US"/>
        </w:rPr>
        <w:t>series</w:t>
      </w:r>
      <w:proofErr w:type="gramEnd"/>
      <w:r w:rsidRPr="00DE0666">
        <w:rPr>
          <w:sz w:val="28"/>
          <w:szCs w:val="28"/>
          <w:lang w:val="en-US"/>
        </w:rPr>
        <w:t xml:space="preserve"> "International Relations and Regional Studies". - 2024. - No. 4.</w:t>
      </w:r>
    </w:p>
    <w:p w14:paraId="1581107B" w14:textId="77777777" w:rsidR="00CC0354" w:rsidRPr="00DE0666" w:rsidRDefault="00CC0354" w:rsidP="00CC0354">
      <w:pPr>
        <w:pStyle w:val="a3"/>
        <w:spacing w:before="0" w:beforeAutospacing="0" w:after="0" w:afterAutospacing="0"/>
        <w:ind w:firstLine="567"/>
        <w:jc w:val="both"/>
        <w:rPr>
          <w:sz w:val="28"/>
          <w:szCs w:val="28"/>
          <w:lang w:val="en-US"/>
        </w:rPr>
      </w:pPr>
      <w:r w:rsidRPr="00DE0666">
        <w:rPr>
          <w:b/>
          <w:bCs/>
          <w:sz w:val="28"/>
          <w:szCs w:val="28"/>
          <w:lang w:val="en-US"/>
        </w:rPr>
        <w:t>Structure of the work</w:t>
      </w:r>
      <w:r w:rsidRPr="00DE0666">
        <w:rPr>
          <w:sz w:val="28"/>
          <w:szCs w:val="28"/>
          <w:lang w:val="en-US"/>
        </w:rPr>
        <w:t>. The dissertation research consists of an introduction, three sections, a conclusion, a list of references, and an appendix.</w:t>
      </w:r>
    </w:p>
    <w:p w14:paraId="13620917" w14:textId="77777777" w:rsidR="007C1040" w:rsidRPr="00DE0666" w:rsidRDefault="00DE0666" w:rsidP="00CC0354">
      <w:pPr>
        <w:spacing w:after="0" w:line="240" w:lineRule="auto"/>
        <w:ind w:firstLine="567"/>
        <w:rPr>
          <w:lang w:val="en-US"/>
        </w:rPr>
      </w:pPr>
    </w:p>
    <w:sectPr w:rsidR="007C1040" w:rsidRPr="00DE06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54"/>
    <w:rsid w:val="000E1221"/>
    <w:rsid w:val="002A5AC6"/>
    <w:rsid w:val="003734DC"/>
    <w:rsid w:val="006832C3"/>
    <w:rsid w:val="00745AA8"/>
    <w:rsid w:val="00CC0354"/>
    <w:rsid w:val="00DE0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5869C"/>
  <w15:chartTrackingRefBased/>
  <w15:docId w15:val="{8CD50D4D-EFC3-4967-B619-202AFE0D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C03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2561</Words>
  <Characters>17857</Characters>
  <Application>Microsoft Office Word</Application>
  <DocSecurity>0</DocSecurity>
  <Lines>350</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Айгерим Жакьянова</cp:lastModifiedBy>
  <cp:revision>4</cp:revision>
  <dcterms:created xsi:type="dcterms:W3CDTF">2026-03-16T18:13:00Z</dcterms:created>
  <dcterms:modified xsi:type="dcterms:W3CDTF">2026-06-03T11:27:00Z</dcterms:modified>
</cp:coreProperties>
</file>